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8B2D0F" w14:textId="77777777" w:rsidR="00FB1ED6" w:rsidRDefault="00FB1ED6"/>
    <w:tbl>
      <w:tblPr>
        <w:tblStyle w:val="TableGrid"/>
        <w:tblW w:w="5760" w:type="dxa"/>
        <w:tblInd w:w="1975" w:type="dxa"/>
        <w:tblLook w:val="04A0" w:firstRow="1" w:lastRow="0" w:firstColumn="1" w:lastColumn="0" w:noHBand="0" w:noVBand="1"/>
      </w:tblPr>
      <w:tblGrid>
        <w:gridCol w:w="5956"/>
      </w:tblGrid>
      <w:tr w:rsidR="002D208E" w14:paraId="531C00C3" w14:textId="77777777" w:rsidTr="00A36AFE">
        <w:trPr>
          <w:trHeight w:val="177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4B4C8F23" w14:textId="77777777" w:rsidR="00DC1320" w:rsidRDefault="00DC1320" w:rsidP="00126C2B">
            <w:pPr>
              <w:spacing w:before="120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10FE26F" wp14:editId="396EB8EE">
                  <wp:extent cx="3390181" cy="563245"/>
                  <wp:effectExtent l="0" t="0" r="1270" b="8255"/>
                  <wp:docPr id="2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829" cy="56401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07" w14:paraId="28B7E51D" w14:textId="77777777" w:rsidTr="00244D53">
        <w:trPr>
          <w:trHeight w:val="503"/>
        </w:trPr>
        <w:tc>
          <w:tcPr>
            <w:tcW w:w="5760" w:type="dxa"/>
            <w:tcBorders>
              <w:bottom w:val="nil"/>
            </w:tcBorders>
          </w:tcPr>
          <w:p w14:paraId="74562AE1" w14:textId="77777777" w:rsidR="00344907" w:rsidRPr="001E3A1B" w:rsidRDefault="00F5475B" w:rsidP="00247A74">
            <w:pPr>
              <w:spacing w:before="120"/>
              <w:ind w:left="0" w:firstLine="0"/>
              <w:jc w:val="center"/>
              <w:rPr>
                <w:noProof/>
                <w:sz w:val="24"/>
                <w:szCs w:val="24"/>
                <w:lang w:val="en-CA" w:eastAsia="en-CA"/>
              </w:rPr>
            </w:pPr>
            <w:r w:rsidRPr="001E3A1B">
              <w:rPr>
                <w:b/>
                <w:sz w:val="24"/>
                <w:szCs w:val="24"/>
              </w:rPr>
              <w:t>Notice of Application</w:t>
            </w:r>
          </w:p>
        </w:tc>
      </w:tr>
      <w:tr w:rsidR="002D208E" w14:paraId="0413B6D5" w14:textId="77777777" w:rsidTr="0095232A">
        <w:trPr>
          <w:trHeight w:val="621"/>
        </w:trPr>
        <w:tc>
          <w:tcPr>
            <w:tcW w:w="5760" w:type="dxa"/>
            <w:tcBorders>
              <w:top w:val="nil"/>
              <w:bottom w:val="nil"/>
            </w:tcBorders>
          </w:tcPr>
          <w:p w14:paraId="31DD4840" w14:textId="77777777" w:rsidR="00031822" w:rsidRPr="001E3A1B" w:rsidRDefault="00031822" w:rsidP="000318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3A1B">
              <w:rPr>
                <w:b/>
                <w:sz w:val="24"/>
                <w:szCs w:val="24"/>
              </w:rPr>
              <w:t>Rate Increase</w:t>
            </w:r>
          </w:p>
          <w:p w14:paraId="11299A5E" w14:textId="77777777" w:rsidR="00D86874" w:rsidRPr="001E3A1B" w:rsidRDefault="004868BC" w:rsidP="004868B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68BC">
              <w:rPr>
                <w:rFonts w:ascii="Segoe UI" w:eastAsia="Times New Roman" w:hAnsi="Segoe UI" w:cs="Segoe UI"/>
                <w:b/>
                <w:sz w:val="32"/>
                <w:szCs w:val="32"/>
                <w:lang w:val="fr-CA"/>
                <w14:ligatures w14:val="none"/>
                <w14:stylisticSets/>
                <w14:cntxtAlts w14:val="0"/>
              </w:rPr>
              <w:t xml:space="preserve">Victoria Water and </w:t>
            </w:r>
            <w:proofErr w:type="spellStart"/>
            <w:r w:rsidRPr="004868BC">
              <w:rPr>
                <w:rFonts w:ascii="Segoe UI" w:eastAsia="Times New Roman" w:hAnsi="Segoe UI" w:cs="Segoe UI"/>
                <w:b/>
                <w:sz w:val="32"/>
                <w:szCs w:val="32"/>
                <w:lang w:val="fr-CA"/>
                <w14:ligatures w14:val="none"/>
                <w14:stylisticSets/>
                <w14:cntxtAlts w14:val="0"/>
              </w:rPr>
              <w:t>Sewage</w:t>
            </w:r>
            <w:proofErr w:type="spellEnd"/>
            <w:r w:rsidRPr="004868BC">
              <w:rPr>
                <w:rFonts w:ascii="Segoe UI" w:eastAsia="Times New Roman" w:hAnsi="Segoe UI" w:cs="Segoe UI"/>
                <w:b/>
                <w:sz w:val="32"/>
                <w:szCs w:val="32"/>
                <w:lang w:val="fr-CA"/>
                <w14:ligatures w14:val="none"/>
                <w14:stylisticSets/>
                <w14:cntxtAlts w14:val="0"/>
              </w:rPr>
              <w:t xml:space="preserve"> Commission </w:t>
            </w:r>
            <w:r>
              <w:rPr>
                <w:rFonts w:ascii="Segoe UI" w:eastAsia="Times New Roman" w:hAnsi="Segoe UI" w:cs="Segoe UI"/>
                <w:b/>
                <w:sz w:val="32"/>
                <w:szCs w:val="32"/>
                <w:lang w:val="fr-CA"/>
                <w14:ligatures w14:val="none"/>
                <w14:stylisticSets/>
                <w14:cntxtAlts w14:val="0"/>
              </w:rPr>
              <w:br/>
            </w:r>
            <w:proofErr w:type="spellStart"/>
            <w:r w:rsidRPr="004868BC">
              <w:rPr>
                <w:rFonts w:ascii="Segoe UI" w:eastAsia="Times New Roman" w:hAnsi="Segoe UI" w:cs="Segoe UI"/>
                <w:b/>
                <w:sz w:val="32"/>
                <w:szCs w:val="32"/>
                <w:lang w:val="fr-CA"/>
                <w14:ligatures w14:val="none"/>
                <w14:stylisticSets/>
                <w14:cntxtAlts w14:val="0"/>
              </w:rPr>
              <w:t>Sewer</w:t>
            </w:r>
            <w:proofErr w:type="spellEnd"/>
            <w:r w:rsidRPr="004868BC">
              <w:rPr>
                <w:rFonts w:ascii="Segoe UI" w:eastAsia="Times New Roman" w:hAnsi="Segoe UI" w:cs="Segoe UI"/>
                <w:b/>
                <w:sz w:val="32"/>
                <w:szCs w:val="32"/>
                <w:lang w:val="fr-CA"/>
                <w14:ligatures w14:val="none"/>
                <w14:stylisticSets/>
                <w14:cntxtAlts w14:val="0"/>
              </w:rPr>
              <w:t xml:space="preserve"> &amp; Water Rates</w:t>
            </w:r>
          </w:p>
        </w:tc>
      </w:tr>
      <w:tr w:rsidR="00AA5B3B" w:rsidRPr="001E3A1B" w14:paraId="65B428E5" w14:textId="77777777" w:rsidTr="0095232A">
        <w:trPr>
          <w:trHeight w:val="6867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14:paraId="0359C314" w14:textId="77777777" w:rsidR="00247A74" w:rsidRDefault="00F5475B" w:rsidP="00247A74">
            <w:pPr>
              <w:pStyle w:val="BodyText3"/>
              <w:spacing w:before="120" w:after="120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b w:val="0"/>
                <w:bCs/>
                <w:szCs w:val="18"/>
                <w:lang w:val="en-US"/>
              </w:rPr>
              <w:t>The</w:t>
            </w:r>
            <w:r w:rsidR="00247A74" w:rsidRPr="001E3A1B">
              <w:rPr>
                <w:rFonts w:ascii="Verdana" w:hAnsi="Verdana" w:cs="Arial"/>
                <w:bCs/>
                <w:szCs w:val="18"/>
                <w:lang w:val="en-US"/>
              </w:rPr>
              <w:t xml:space="preserve"> </w:t>
            </w:r>
            <w:r w:rsidR="004868BC">
              <w:rPr>
                <w:rFonts w:ascii="Verdana" w:hAnsi="Verdana" w:cs="Arial"/>
                <w:bCs/>
                <w:szCs w:val="18"/>
                <w:lang w:val="en-US"/>
              </w:rPr>
              <w:t>Victoria Water and Sewage Commission (</w:t>
            </w:r>
            <w:r w:rsidR="004868BC" w:rsidRPr="004868BC">
              <w:rPr>
                <w:rFonts w:ascii="Verdana" w:hAnsi="Verdana" w:cs="Arial"/>
                <w:b w:val="0"/>
                <w:bCs/>
                <w:szCs w:val="18"/>
                <w:lang w:val="en-US"/>
              </w:rPr>
              <w:t>the “Utility”</w:t>
            </w:r>
            <w:r w:rsidR="004868BC">
              <w:rPr>
                <w:rFonts w:ascii="Verdana" w:hAnsi="Verdana" w:cs="Arial"/>
                <w:bCs/>
                <w:szCs w:val="18"/>
                <w:lang w:val="en-US"/>
              </w:rPr>
              <w:t>)</w:t>
            </w:r>
            <w:r w:rsidR="00247A74" w:rsidRPr="001E3A1B">
              <w:rPr>
                <w:rFonts w:ascii="Verdana" w:hAnsi="Verdana" w:cs="Arial"/>
                <w:b w:val="0"/>
                <w:szCs w:val="18"/>
                <w:lang w:val="en-US"/>
              </w:rPr>
              <w:t xml:space="preserve"> has applied to the Prince Edward Island Regulatory &amp; Appeals Commission</w:t>
            </w:r>
            <w:r w:rsidR="004868BC">
              <w:rPr>
                <w:rFonts w:ascii="Verdana" w:hAnsi="Verdana" w:cs="Arial"/>
                <w:b w:val="0"/>
                <w:szCs w:val="18"/>
                <w:lang w:val="en-US"/>
              </w:rPr>
              <w:t xml:space="preserve"> (the “Commission”) requesting sewer and water rate increases for the 12-month period ending March 31, 2023. </w:t>
            </w:r>
            <w:r w:rsidR="00247A74" w:rsidRPr="001E3A1B">
              <w:rPr>
                <w:rFonts w:ascii="Verdana" w:hAnsi="Verdana" w:cs="Arial"/>
                <w:b w:val="0"/>
                <w:szCs w:val="18"/>
                <w:lang w:val="en-US"/>
              </w:rPr>
              <w:t xml:space="preserve"> </w:t>
            </w:r>
          </w:p>
          <w:p w14:paraId="259D8480" w14:textId="77777777" w:rsidR="004868BC" w:rsidRPr="004868BC" w:rsidRDefault="004868BC" w:rsidP="004868BC">
            <w:pPr>
              <w:pStyle w:val="BodyText3"/>
              <w:rPr>
                <w:rFonts w:ascii="Verdana" w:hAnsi="Verdana" w:cs="Lucida Sans"/>
                <w:b w:val="0"/>
                <w:szCs w:val="18"/>
                <w:lang w:val="en-US"/>
              </w:rPr>
            </w:pPr>
            <w:r w:rsidRPr="004868BC">
              <w:rPr>
                <w:rFonts w:ascii="Verdana" w:hAnsi="Verdana" w:cs="Lucida Sans"/>
                <w:szCs w:val="18"/>
                <w:lang w:val="en-US"/>
              </w:rPr>
              <w:t>SPECIFICALLY, THE UTILITY PROPOSES</w:t>
            </w:r>
            <w:r w:rsidRPr="004868BC">
              <w:rPr>
                <w:rFonts w:ascii="Verdana" w:hAnsi="Verdana" w:cs="Lucida Sans"/>
                <w:b w:val="0"/>
                <w:szCs w:val="18"/>
                <w:lang w:val="en-US"/>
              </w:rPr>
              <w:t xml:space="preserve"> the following yearly unmetered rates, per unit:</w:t>
            </w:r>
          </w:p>
          <w:p w14:paraId="26F0D8C0" w14:textId="77777777" w:rsidR="004868BC" w:rsidRDefault="004868BC" w:rsidP="004868BC">
            <w:pPr>
              <w:pStyle w:val="BodyText3"/>
              <w:rPr>
                <w:rFonts w:ascii="Lucida Sans" w:hAnsi="Lucida Sans" w:cs="Lucida Sans"/>
                <w:b w:val="0"/>
                <w:sz w:val="16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4"/>
              <w:gridCol w:w="1358"/>
              <w:gridCol w:w="1498"/>
            </w:tblGrid>
            <w:tr w:rsidR="004868BC" w14:paraId="7289C1F3" w14:textId="77777777" w:rsidTr="004944A9">
              <w:trPr>
                <w:trHeight w:val="246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00B804B6" w14:textId="77777777" w:rsidR="004868BC" w:rsidRPr="00C60575" w:rsidRDefault="004868BC" w:rsidP="004868BC">
                  <w:pP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Rates</w:t>
                  </w:r>
                </w:p>
              </w:tc>
              <w:tc>
                <w:tcPr>
                  <w:tcW w:w="1148" w:type="dxa"/>
                  <w:shd w:val="clear" w:color="auto" w:fill="D9D9D9" w:themeFill="background1" w:themeFillShade="D9"/>
                </w:tcPr>
                <w:p w14:paraId="2E996E1E" w14:textId="77777777" w:rsidR="004868BC" w:rsidRPr="00C60575" w:rsidRDefault="004868BC" w:rsidP="004868BC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CURRENT:</w:t>
                  </w:r>
                </w:p>
              </w:tc>
              <w:tc>
                <w:tcPr>
                  <w:tcW w:w="1244" w:type="dxa"/>
                  <w:shd w:val="clear" w:color="auto" w:fill="D9D9D9" w:themeFill="background1" w:themeFillShade="D9"/>
                </w:tcPr>
                <w:p w14:paraId="4F2250FC" w14:textId="77777777" w:rsidR="004868BC" w:rsidRPr="00C60575" w:rsidRDefault="004868BC" w:rsidP="004868BC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proofErr w:type="gramStart"/>
                  <w:r w:rsidRPr="00C60575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PROPOSED :</w:t>
                  </w:r>
                  <w:proofErr w:type="gramEnd"/>
                </w:p>
              </w:tc>
            </w:tr>
            <w:tr w:rsidR="004868BC" w14:paraId="63BB4C24" w14:textId="77777777" w:rsidTr="004944A9">
              <w:trPr>
                <w:trHeight w:val="246"/>
                <w:jc w:val="center"/>
              </w:trPr>
              <w:tc>
                <w:tcPr>
                  <w:tcW w:w="2004" w:type="dxa"/>
                </w:tcPr>
                <w:p w14:paraId="29E28D1A" w14:textId="77777777" w:rsidR="004868BC" w:rsidRPr="00C60575" w:rsidRDefault="004868BC" w:rsidP="004868BC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Unmetered Water</w:t>
                  </w:r>
                </w:p>
              </w:tc>
              <w:tc>
                <w:tcPr>
                  <w:tcW w:w="1148" w:type="dxa"/>
                </w:tcPr>
                <w:p w14:paraId="734BE1CE" w14:textId="77777777" w:rsidR="004868BC" w:rsidRPr="00C60575" w:rsidRDefault="004868BC" w:rsidP="004868BC">
                  <w:pPr>
                    <w:tabs>
                      <w:tab w:val="decimal" w:pos="541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$304.00</w:t>
                  </w:r>
                </w:p>
              </w:tc>
              <w:tc>
                <w:tcPr>
                  <w:tcW w:w="1244" w:type="dxa"/>
                </w:tcPr>
                <w:p w14:paraId="412280FD" w14:textId="77777777" w:rsidR="004868BC" w:rsidRPr="00C60575" w:rsidRDefault="004868BC" w:rsidP="004868BC">
                  <w:pPr>
                    <w:tabs>
                      <w:tab w:val="decimal" w:pos="586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$350.00</w:t>
                  </w:r>
                </w:p>
              </w:tc>
            </w:tr>
            <w:tr w:rsidR="004868BC" w14:paraId="22D717C7" w14:textId="77777777" w:rsidTr="004944A9">
              <w:trPr>
                <w:trHeight w:val="246"/>
                <w:jc w:val="center"/>
              </w:trPr>
              <w:tc>
                <w:tcPr>
                  <w:tcW w:w="2004" w:type="dxa"/>
                </w:tcPr>
                <w:p w14:paraId="2364DFF0" w14:textId="77777777" w:rsidR="004868BC" w:rsidRPr="00C60575" w:rsidRDefault="004868BC" w:rsidP="004868BC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Water Frontage</w:t>
                  </w:r>
                </w:p>
              </w:tc>
              <w:tc>
                <w:tcPr>
                  <w:tcW w:w="1148" w:type="dxa"/>
                </w:tcPr>
                <w:p w14:paraId="6FEFD260" w14:textId="77777777" w:rsidR="004868BC" w:rsidRPr="00C60575" w:rsidRDefault="004868BC" w:rsidP="004868BC">
                  <w:pPr>
                    <w:tabs>
                      <w:tab w:val="decimal" w:pos="541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$152.00</w:t>
                  </w:r>
                </w:p>
              </w:tc>
              <w:tc>
                <w:tcPr>
                  <w:tcW w:w="1244" w:type="dxa"/>
                </w:tcPr>
                <w:p w14:paraId="5E66A50F" w14:textId="77777777" w:rsidR="004868BC" w:rsidRPr="00C60575" w:rsidRDefault="004868BC" w:rsidP="004868BC">
                  <w:pPr>
                    <w:tabs>
                      <w:tab w:val="decimal" w:pos="586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$175.00</w:t>
                  </w:r>
                </w:p>
              </w:tc>
            </w:tr>
            <w:tr w:rsidR="004868BC" w14:paraId="1E5EE989" w14:textId="77777777" w:rsidTr="004944A9">
              <w:trPr>
                <w:trHeight w:val="246"/>
                <w:jc w:val="center"/>
              </w:trPr>
              <w:tc>
                <w:tcPr>
                  <w:tcW w:w="2004" w:type="dxa"/>
                </w:tcPr>
                <w:p w14:paraId="30B7F347" w14:textId="77777777" w:rsidR="004868BC" w:rsidRPr="00C60575" w:rsidRDefault="004868BC" w:rsidP="004868BC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Sewer</w:t>
                  </w:r>
                </w:p>
              </w:tc>
              <w:tc>
                <w:tcPr>
                  <w:tcW w:w="1148" w:type="dxa"/>
                </w:tcPr>
                <w:p w14:paraId="1BFCB74C" w14:textId="77777777" w:rsidR="004868BC" w:rsidRPr="00C60575" w:rsidRDefault="004868BC" w:rsidP="004868BC">
                  <w:pPr>
                    <w:tabs>
                      <w:tab w:val="decimal" w:pos="541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$552.00</w:t>
                  </w:r>
                </w:p>
              </w:tc>
              <w:tc>
                <w:tcPr>
                  <w:tcW w:w="1244" w:type="dxa"/>
                </w:tcPr>
                <w:p w14:paraId="4910A38B" w14:textId="77777777" w:rsidR="004868BC" w:rsidRPr="00C60575" w:rsidRDefault="004868BC" w:rsidP="004868BC">
                  <w:pPr>
                    <w:tabs>
                      <w:tab w:val="decimal" w:pos="586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$635.00</w:t>
                  </w:r>
                </w:p>
              </w:tc>
            </w:tr>
            <w:tr w:rsidR="004868BC" w14:paraId="73024092" w14:textId="77777777" w:rsidTr="004944A9">
              <w:trPr>
                <w:trHeight w:val="246"/>
                <w:jc w:val="center"/>
              </w:trPr>
              <w:tc>
                <w:tcPr>
                  <w:tcW w:w="2004" w:type="dxa"/>
                </w:tcPr>
                <w:p w14:paraId="3A31DEAC" w14:textId="77777777" w:rsidR="004868BC" w:rsidRPr="00C60575" w:rsidRDefault="004868BC" w:rsidP="004868BC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Sewer Frontage</w:t>
                  </w:r>
                </w:p>
              </w:tc>
              <w:tc>
                <w:tcPr>
                  <w:tcW w:w="1148" w:type="dxa"/>
                </w:tcPr>
                <w:p w14:paraId="26384547" w14:textId="77777777" w:rsidR="004868BC" w:rsidRPr="00C60575" w:rsidRDefault="004868BC" w:rsidP="004868BC">
                  <w:pPr>
                    <w:tabs>
                      <w:tab w:val="decimal" w:pos="541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$276.00</w:t>
                  </w:r>
                </w:p>
              </w:tc>
              <w:tc>
                <w:tcPr>
                  <w:tcW w:w="1244" w:type="dxa"/>
                </w:tcPr>
                <w:p w14:paraId="57C671A2" w14:textId="77777777" w:rsidR="004868BC" w:rsidRPr="00C60575" w:rsidRDefault="004868BC" w:rsidP="004868BC">
                  <w:pPr>
                    <w:tabs>
                      <w:tab w:val="decimal" w:pos="586"/>
                    </w:tabs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C60575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$318.00</w:t>
                  </w:r>
                </w:p>
              </w:tc>
            </w:tr>
          </w:tbl>
          <w:p w14:paraId="38741062" w14:textId="77777777" w:rsidR="004868BC" w:rsidRPr="001E3A1B" w:rsidRDefault="004868BC" w:rsidP="00247A74">
            <w:pPr>
              <w:pStyle w:val="BodyText3"/>
              <w:spacing w:before="120" w:after="120"/>
              <w:rPr>
                <w:rFonts w:ascii="Verdana" w:hAnsi="Verdana" w:cs="Arial"/>
                <w:b w:val="0"/>
                <w:bCs/>
                <w:szCs w:val="18"/>
                <w:lang w:val="en-US"/>
              </w:rPr>
            </w:pPr>
          </w:p>
          <w:p w14:paraId="57A55671" w14:textId="77777777" w:rsidR="00247A74" w:rsidRPr="001E3A1B" w:rsidRDefault="00247A74" w:rsidP="00247A74">
            <w:pPr>
              <w:pStyle w:val="BodyText3"/>
              <w:spacing w:before="120" w:after="120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bCs/>
                <w:szCs w:val="18"/>
                <w:lang w:val="en-US"/>
              </w:rPr>
              <w:t xml:space="preserve">DETAILS OF THE RATE APPLICATION </w:t>
            </w:r>
            <w:r w:rsidRPr="001E3A1B">
              <w:rPr>
                <w:rFonts w:ascii="Verdana" w:hAnsi="Verdana" w:cs="Arial"/>
                <w:b w:val="0"/>
                <w:bCs/>
                <w:szCs w:val="18"/>
                <w:lang w:val="en-US"/>
              </w:rPr>
              <w:t xml:space="preserve">and the Utility's current </w:t>
            </w:r>
            <w:r w:rsidR="004868BC">
              <w:rPr>
                <w:rFonts w:ascii="Verdana" w:hAnsi="Verdana" w:cs="Arial"/>
                <w:b w:val="0"/>
                <w:bCs/>
                <w:szCs w:val="18"/>
                <w:lang w:val="en-US"/>
              </w:rPr>
              <w:t xml:space="preserve">sewer and water </w:t>
            </w:r>
            <w:r w:rsidRPr="001E3A1B">
              <w:rPr>
                <w:rFonts w:ascii="Verdana" w:hAnsi="Verdana" w:cs="Arial"/>
                <w:b w:val="0"/>
                <w:bCs/>
                <w:szCs w:val="18"/>
                <w:lang w:val="en-US"/>
              </w:rPr>
              <w:t>rate tariff</w:t>
            </w:r>
            <w:r w:rsidR="004868BC">
              <w:rPr>
                <w:rFonts w:ascii="Verdana" w:hAnsi="Verdana" w:cs="Arial"/>
                <w:b w:val="0"/>
                <w:bCs/>
                <w:szCs w:val="18"/>
                <w:lang w:val="en-US"/>
              </w:rPr>
              <w:t>s</w:t>
            </w:r>
            <w:r w:rsidRPr="001E3A1B">
              <w:rPr>
                <w:rFonts w:ascii="Verdana" w:hAnsi="Verdana" w:cs="Arial"/>
                <w:b w:val="0"/>
                <w:bCs/>
                <w:szCs w:val="18"/>
                <w:lang w:val="en-US"/>
              </w:rPr>
              <w:t xml:space="preserve"> </w:t>
            </w: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>c</w:t>
            </w:r>
            <w:r w:rsidR="00AD5381" w:rsidRPr="001E3A1B">
              <w:rPr>
                <w:rFonts w:ascii="Verdana" w:hAnsi="Verdana" w:cs="Arial"/>
                <w:b w:val="0"/>
                <w:szCs w:val="18"/>
                <w:lang w:val="en-US"/>
              </w:rPr>
              <w:t>an be viewed on the Commission</w:t>
            </w: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 xml:space="preserve"> website at </w:t>
            </w:r>
            <w:hyperlink r:id="rId10" w:history="1">
              <w:r w:rsidRPr="001E3A1B">
                <w:rPr>
                  <w:rFonts w:ascii="Verdana" w:hAnsi="Verdana" w:cs="Arial"/>
                  <w:b w:val="0"/>
                  <w:szCs w:val="18"/>
                  <w:lang w:val="en-US"/>
                </w:rPr>
                <w:t>irac.pe.ca/utilities</w:t>
              </w:r>
            </w:hyperlink>
            <w:r w:rsidR="00031822" w:rsidRPr="001E3A1B">
              <w:rPr>
                <w:rFonts w:ascii="Verdana" w:hAnsi="Verdana" w:cs="Arial"/>
                <w:b w:val="0"/>
                <w:szCs w:val="18"/>
                <w:lang w:val="en-US"/>
              </w:rPr>
              <w:t>.</w:t>
            </w:r>
            <w:r w:rsidR="004868BC">
              <w:rPr>
                <w:rFonts w:ascii="Verdana" w:hAnsi="Verdana" w:cs="Arial"/>
                <w:b w:val="0"/>
                <w:szCs w:val="18"/>
                <w:lang w:val="en-US"/>
              </w:rPr>
              <w:t xml:space="preserve"> Questions on the filing should be addressed to the Victoria Utility. </w:t>
            </w:r>
          </w:p>
          <w:p w14:paraId="7CF21AE4" w14:textId="77777777" w:rsidR="0088255D" w:rsidRPr="001E3A1B" w:rsidRDefault="00247A74" w:rsidP="00247A74">
            <w:pPr>
              <w:pStyle w:val="BodyText3"/>
              <w:spacing w:before="120" w:after="120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DB56CA">
              <w:rPr>
                <w:rFonts w:ascii="Verdana" w:hAnsi="Verdana" w:cs="Arial"/>
                <w:bCs/>
                <w:szCs w:val="18"/>
                <w:highlight w:val="yellow"/>
                <w:lang w:val="en-US"/>
              </w:rPr>
              <w:t>IF YOU</w:t>
            </w:r>
            <w:r w:rsidR="00031822" w:rsidRPr="00DB56CA">
              <w:rPr>
                <w:rFonts w:ascii="Verdana" w:hAnsi="Verdana" w:cs="Arial"/>
                <w:bCs/>
                <w:szCs w:val="18"/>
                <w:highlight w:val="yellow"/>
                <w:lang w:val="en-US"/>
              </w:rPr>
              <w:t xml:space="preserve"> </w:t>
            </w:r>
            <w:r w:rsidRPr="00DB56CA">
              <w:rPr>
                <w:rFonts w:ascii="Verdana" w:hAnsi="Verdana" w:cs="Arial"/>
                <w:bCs/>
                <w:szCs w:val="18"/>
                <w:highlight w:val="yellow"/>
                <w:lang w:val="en-US"/>
              </w:rPr>
              <w:t xml:space="preserve">WANT TO COMMENT </w:t>
            </w:r>
            <w:r w:rsidRPr="00DB56CA">
              <w:rPr>
                <w:rFonts w:ascii="Verdana" w:hAnsi="Verdana" w:cs="Arial"/>
                <w:b w:val="0"/>
                <w:szCs w:val="18"/>
                <w:highlight w:val="yellow"/>
                <w:lang w:val="en-US"/>
              </w:rPr>
              <w:t>on the application, you can write or email the Commission at the address below</w:t>
            </w: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>. Questions on the application should be sent directly to the Utility at the address below.</w:t>
            </w:r>
            <w:r w:rsidR="004868BC">
              <w:rPr>
                <w:rFonts w:ascii="Verdana" w:hAnsi="Verdana" w:cs="Arial"/>
                <w:b w:val="0"/>
                <w:szCs w:val="18"/>
                <w:lang w:val="en-US"/>
              </w:rPr>
              <w:t xml:space="preserve"> </w:t>
            </w:r>
          </w:p>
          <w:p w14:paraId="6EFEA7F8" w14:textId="77777777" w:rsidR="00247A74" w:rsidRPr="001E3A1B" w:rsidRDefault="00247A74" w:rsidP="00247A74">
            <w:pPr>
              <w:pStyle w:val="BodyText3"/>
              <w:spacing w:before="120" w:after="120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szCs w:val="18"/>
                <w:lang w:val="en-US"/>
              </w:rPr>
              <w:t>Written comments are due by</w:t>
            </w: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 xml:space="preserve"> </w:t>
            </w:r>
            <w:r w:rsidR="004868BC" w:rsidRPr="004868BC">
              <w:rPr>
                <w:rFonts w:ascii="Verdana" w:hAnsi="Verdana" w:cs="Arial"/>
                <w:szCs w:val="18"/>
                <w:lang w:val="en-US"/>
              </w:rPr>
              <w:t>January 27, 2023</w:t>
            </w:r>
            <w:r w:rsidRPr="004868BC">
              <w:rPr>
                <w:rFonts w:ascii="Verdana" w:hAnsi="Verdana" w:cs="Arial"/>
                <w:szCs w:val="18"/>
                <w:lang w:val="en-US"/>
              </w:rPr>
              <w:t>.</w:t>
            </w:r>
          </w:p>
          <w:p w14:paraId="3A7EBAC6" w14:textId="77777777" w:rsidR="00247A74" w:rsidRPr="001E3A1B" w:rsidRDefault="00247A74" w:rsidP="00247A74">
            <w:pPr>
              <w:pStyle w:val="BodyText3"/>
              <w:spacing w:before="120" w:after="120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szCs w:val="18"/>
                <w:lang w:val="en-US"/>
              </w:rPr>
              <w:t>THE COMMISSION’S RATE REVIEW PROCESS</w:t>
            </w: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>:</w:t>
            </w:r>
          </w:p>
          <w:p w14:paraId="2AD00424" w14:textId="77777777" w:rsidR="00247A74" w:rsidRPr="001E3A1B" w:rsidRDefault="00247A74" w:rsidP="00031822">
            <w:pPr>
              <w:pStyle w:val="BodyText3"/>
              <w:numPr>
                <w:ilvl w:val="0"/>
                <w:numId w:val="1"/>
              </w:numPr>
              <w:ind w:left="288" w:hanging="187"/>
              <w:jc w:val="left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>Utility files a rate application;</w:t>
            </w:r>
          </w:p>
          <w:p w14:paraId="093B9420" w14:textId="77777777" w:rsidR="00247A74" w:rsidRPr="001E3A1B" w:rsidRDefault="00247A74" w:rsidP="00031822">
            <w:pPr>
              <w:pStyle w:val="BodyText3"/>
              <w:numPr>
                <w:ilvl w:val="0"/>
                <w:numId w:val="1"/>
              </w:numPr>
              <w:ind w:left="288" w:hanging="187"/>
              <w:jc w:val="left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>Public notice of the Utility's proposed rate changes;</w:t>
            </w:r>
          </w:p>
          <w:p w14:paraId="4DAE4832" w14:textId="77777777" w:rsidR="00247A74" w:rsidRPr="001E3A1B" w:rsidRDefault="00247A74" w:rsidP="00031822">
            <w:pPr>
              <w:pStyle w:val="BodyText3"/>
              <w:numPr>
                <w:ilvl w:val="0"/>
                <w:numId w:val="1"/>
              </w:numPr>
              <w:ind w:left="288" w:hanging="187"/>
              <w:jc w:val="left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 xml:space="preserve">Commission review of the application and written comments; </w:t>
            </w:r>
            <w:r w:rsidR="00364F77">
              <w:rPr>
                <w:rFonts w:ascii="Verdana" w:hAnsi="Verdana" w:cs="Arial"/>
                <w:b w:val="0"/>
                <w:szCs w:val="18"/>
                <w:lang w:val="en-US"/>
              </w:rPr>
              <w:t>and</w:t>
            </w:r>
          </w:p>
          <w:p w14:paraId="32148553" w14:textId="77777777" w:rsidR="00247A74" w:rsidRPr="001E3A1B" w:rsidRDefault="00247A74" w:rsidP="00031822">
            <w:pPr>
              <w:pStyle w:val="BodyText3"/>
              <w:numPr>
                <w:ilvl w:val="0"/>
                <w:numId w:val="1"/>
              </w:numPr>
              <w:spacing w:after="120"/>
              <w:ind w:left="288" w:hanging="187"/>
              <w:jc w:val="left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>Commission Order outlining the decision and the rates to be charged.</w:t>
            </w:r>
          </w:p>
          <w:p w14:paraId="584B8EDA" w14:textId="77777777" w:rsidR="005B3004" w:rsidRPr="00A0263B" w:rsidRDefault="00247A74" w:rsidP="0054645E">
            <w:pPr>
              <w:pStyle w:val="BodyText3"/>
              <w:spacing w:before="120" w:after="120"/>
              <w:rPr>
                <w:rFonts w:ascii="Verdana" w:hAnsi="Verdana" w:cs="Arial"/>
                <w:b w:val="0"/>
                <w:szCs w:val="18"/>
                <w:lang w:val="en-US"/>
              </w:rPr>
            </w:pP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 xml:space="preserve">Decisions on the Utility's application </w:t>
            </w:r>
            <w:r w:rsidR="003F1E6A" w:rsidRPr="001E3A1B">
              <w:rPr>
                <w:rFonts w:ascii="Verdana" w:hAnsi="Verdana" w:cs="Arial"/>
                <w:b w:val="0"/>
                <w:szCs w:val="18"/>
                <w:lang w:val="en-US"/>
              </w:rPr>
              <w:t>can be found on the Commission</w:t>
            </w:r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 xml:space="preserve"> website at </w:t>
            </w:r>
            <w:hyperlink r:id="rId11" w:history="1">
              <w:r w:rsidRPr="001E3A1B">
                <w:rPr>
                  <w:rFonts w:ascii="Verdana" w:hAnsi="Verdana" w:cs="Arial"/>
                  <w:b w:val="0"/>
                  <w:szCs w:val="18"/>
                  <w:lang w:val="en-US"/>
                </w:rPr>
                <w:t>irac.pe.ca/utilities</w:t>
              </w:r>
            </w:hyperlink>
            <w:r w:rsidRPr="001E3A1B">
              <w:rPr>
                <w:rFonts w:ascii="Verdana" w:hAnsi="Verdana" w:cs="Arial"/>
                <w:b w:val="0"/>
                <w:szCs w:val="18"/>
                <w:lang w:val="en-US"/>
              </w:rPr>
              <w:t>.</w:t>
            </w:r>
          </w:p>
        </w:tc>
      </w:tr>
      <w:tr w:rsidR="00A335B3" w14:paraId="5428517B" w14:textId="77777777" w:rsidTr="0095232A">
        <w:trPr>
          <w:trHeight w:val="2492"/>
        </w:trPr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14:paraId="4B91C204" w14:textId="77777777" w:rsidR="00156E23" w:rsidRPr="00156E23" w:rsidRDefault="004868BC" w:rsidP="00B56E6F">
            <w:pPr>
              <w:pStyle w:val="BodyText3"/>
              <w:spacing w:before="100" w:beforeAutospacing="1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szCs w:val="18"/>
                <w:lang w:val="en-US"/>
              </w:rPr>
              <w:t>Contact I</w:t>
            </w:r>
            <w:r w:rsidR="00EB37F1">
              <w:rPr>
                <w:rFonts w:ascii="Verdana" w:hAnsi="Verdana" w:cs="Arial"/>
                <w:bCs/>
                <w:szCs w:val="18"/>
                <w:lang w:val="en-US"/>
              </w:rPr>
              <w:t>nformation</w:t>
            </w:r>
            <w:r w:rsidR="00A0263B">
              <w:rPr>
                <w:rFonts w:ascii="Arial" w:hAnsi="Arial" w:cs="Arial"/>
                <w:bCs/>
                <w:szCs w:val="18"/>
                <w:lang w:val="en-US"/>
              </w:rPr>
              <w:t>:</w:t>
            </w:r>
          </w:p>
          <w:tbl>
            <w:tblPr>
              <w:tblStyle w:val="TableGrid"/>
              <w:tblW w:w="5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5"/>
              <w:gridCol w:w="2555"/>
            </w:tblGrid>
            <w:tr w:rsidR="00156E23" w14:paraId="352AD10C" w14:textId="77777777" w:rsidTr="00B91B59">
              <w:tc>
                <w:tcPr>
                  <w:tcW w:w="3185" w:type="dxa"/>
                </w:tcPr>
                <w:p w14:paraId="31CCF1B7" w14:textId="77777777" w:rsidR="00156E23" w:rsidRPr="00B91B59" w:rsidRDefault="00156E23" w:rsidP="00156E23">
                  <w:pPr>
                    <w:pStyle w:val="BodyText3"/>
                    <w:spacing w:before="100" w:beforeAutospacing="1"/>
                    <w:ind w:right="1380"/>
                    <w:jc w:val="left"/>
                    <w:rPr>
                      <w:rFonts w:ascii="Verdana" w:hAnsi="Verdana" w:cs="Arial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Cs/>
                      <w:sz w:val="16"/>
                      <w:szCs w:val="16"/>
                      <w:lang w:val="en-US"/>
                    </w:rPr>
                    <w:t>UTILITY –</w:t>
                  </w:r>
                </w:p>
                <w:p w14:paraId="1E61C04A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Hilary Price,</w:t>
                  </w:r>
                </w:p>
                <w:p w14:paraId="271AA350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Chief Administrative Officer</w:t>
                  </w:r>
                </w:p>
                <w:p w14:paraId="43F7F207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 xml:space="preserve">Victoria Water and Sewage </w:t>
                  </w:r>
                </w:p>
                <w:p w14:paraId="1A0CD8B4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Commission</w:t>
                  </w:r>
                </w:p>
                <w:p w14:paraId="79E222EA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P.O. Box 7</w:t>
                  </w:r>
                </w:p>
                <w:p w14:paraId="73626DAE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730 Victoria Road</w:t>
                  </w:r>
                </w:p>
                <w:p w14:paraId="2216A406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Victoria, PE C0A 2G0</w:t>
                  </w:r>
                </w:p>
                <w:p w14:paraId="599F3EBD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Tel: 902-658-2541</w:t>
                  </w:r>
                </w:p>
                <w:p w14:paraId="4D36BA37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B91B59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  <w:t>Email: victoriamunicipalitypei@gmail.com</w:t>
                  </w:r>
                </w:p>
              </w:tc>
              <w:tc>
                <w:tcPr>
                  <w:tcW w:w="2555" w:type="dxa"/>
                </w:tcPr>
                <w:p w14:paraId="4792BCDA" w14:textId="77777777" w:rsidR="00156E23" w:rsidRPr="00DB56CA" w:rsidRDefault="00156E23" w:rsidP="00156E23">
                  <w:pPr>
                    <w:pStyle w:val="BodyText3"/>
                    <w:spacing w:before="100" w:beforeAutospacing="1"/>
                    <w:ind w:left="-959" w:right="-404" w:firstLine="959"/>
                    <w:jc w:val="left"/>
                    <w:rPr>
                      <w:rFonts w:ascii="Verdana" w:hAnsi="Verdana" w:cs="Arial"/>
                      <w:bCs/>
                      <w:sz w:val="16"/>
                      <w:szCs w:val="16"/>
                      <w:highlight w:val="yellow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Cs/>
                      <w:sz w:val="16"/>
                      <w:szCs w:val="16"/>
                      <w:highlight w:val="yellow"/>
                      <w:lang w:val="en-US"/>
                    </w:rPr>
                    <w:t xml:space="preserve">COMMISSION – </w:t>
                  </w:r>
                </w:p>
                <w:p w14:paraId="6363CE1C" w14:textId="77777777" w:rsidR="00156E23" w:rsidRPr="00DB56CA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  <w:t>Re: Victoria Rate Filing</w:t>
                  </w:r>
                </w:p>
                <w:p w14:paraId="06E6FCFD" w14:textId="77777777" w:rsidR="00156E23" w:rsidRPr="00DB56CA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  <w:t xml:space="preserve">The Island Regulatory and Appeals Commission </w:t>
                  </w:r>
                </w:p>
                <w:p w14:paraId="66843034" w14:textId="77777777" w:rsidR="00156E23" w:rsidRPr="00DB56CA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  <w:t>P.O. Box 577</w:t>
                  </w:r>
                </w:p>
                <w:p w14:paraId="783A20DD" w14:textId="77777777" w:rsidR="00156E23" w:rsidRPr="00DB56CA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  <w:t>Charlottetown, PE C1A 7L1</w:t>
                  </w:r>
                </w:p>
                <w:p w14:paraId="690BC6A7" w14:textId="77777777" w:rsidR="00156E23" w:rsidRPr="00DB56CA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  <w:t>Tel: 902-892-3501</w:t>
                  </w:r>
                </w:p>
                <w:p w14:paraId="03D0E4FD" w14:textId="77777777" w:rsidR="00156E23" w:rsidRPr="00DB56CA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  <w:t>Toll Free: 1-800-501-6268</w:t>
                  </w:r>
                </w:p>
                <w:p w14:paraId="7FED7C19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lang w:val="en-US"/>
                    </w:rPr>
                  </w:pPr>
                  <w:r w:rsidRPr="00DB56CA">
                    <w:rPr>
                      <w:rFonts w:ascii="Verdana" w:hAnsi="Verdana" w:cs="Arial"/>
                      <w:b w:val="0"/>
                      <w:bCs/>
                      <w:sz w:val="16"/>
                      <w:szCs w:val="16"/>
                      <w:highlight w:val="yellow"/>
                      <w:lang w:val="en-US"/>
                    </w:rPr>
                    <w:t>Email: water-sewerinquiries@irac.pe.ca</w:t>
                  </w:r>
                </w:p>
                <w:p w14:paraId="54BEC224" w14:textId="77777777" w:rsidR="00156E23" w:rsidRPr="00B91B59" w:rsidRDefault="00156E23" w:rsidP="00156E23">
                  <w:pPr>
                    <w:pStyle w:val="BodyText3"/>
                    <w:jc w:val="left"/>
                    <w:rPr>
                      <w:rFonts w:ascii="Verdana" w:hAnsi="Verdana" w:cs="Arial"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6A27766" w14:textId="77777777" w:rsidR="00A335B3" w:rsidRDefault="00A335B3" w:rsidP="00A335B3">
            <w:pPr>
              <w:pStyle w:val="BodyText3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</w:p>
          <w:p w14:paraId="61CB6D2D" w14:textId="77777777" w:rsidR="000212E3" w:rsidRPr="00B91B59" w:rsidRDefault="000212E3" w:rsidP="00A335B3">
            <w:pPr>
              <w:pStyle w:val="BodyText3"/>
              <w:jc w:val="left"/>
              <w:rPr>
                <w:rFonts w:ascii="Verdana" w:hAnsi="Verdana" w:cs="Arial"/>
                <w:bCs/>
                <w:szCs w:val="18"/>
                <w:lang w:val="en-US"/>
              </w:rPr>
            </w:pPr>
            <w:r w:rsidRPr="00B91B59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DATED</w:t>
            </w:r>
            <w:r w:rsidRPr="00B91B59">
              <w:rPr>
                <w:rFonts w:ascii="Verdana" w:hAnsi="Verdana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B91B59" w:rsidRPr="00B91B59">
              <w:rPr>
                <w:rFonts w:ascii="Verdana" w:hAnsi="Verdana" w:cs="Arial"/>
                <w:b w:val="0"/>
                <w:bCs/>
                <w:sz w:val="16"/>
                <w:szCs w:val="16"/>
                <w:lang w:val="en-US"/>
              </w:rPr>
              <w:t>at Charlottetown, this 10</w:t>
            </w:r>
            <w:r w:rsidR="00B91B59" w:rsidRPr="00B91B59">
              <w:rPr>
                <w:rFonts w:ascii="Verdana" w:hAnsi="Verdana" w:cs="Arial"/>
                <w:b w:val="0"/>
                <w:bCs/>
                <w:sz w:val="16"/>
                <w:szCs w:val="16"/>
                <w:vertAlign w:val="superscript"/>
                <w:lang w:val="en-US"/>
              </w:rPr>
              <w:t>th</w:t>
            </w:r>
            <w:r w:rsidR="00B91B59" w:rsidRPr="00B91B59">
              <w:rPr>
                <w:rFonts w:ascii="Verdana" w:hAnsi="Verdana" w:cs="Arial"/>
                <w:b w:val="0"/>
                <w:bCs/>
                <w:sz w:val="16"/>
                <w:szCs w:val="16"/>
                <w:lang w:val="en-US"/>
              </w:rPr>
              <w:t xml:space="preserve"> day of January, 2023. </w:t>
            </w:r>
          </w:p>
        </w:tc>
      </w:tr>
    </w:tbl>
    <w:p w14:paraId="29CAB85F" w14:textId="77777777" w:rsidR="0012166F" w:rsidRDefault="0012166F" w:rsidP="002D208E">
      <w:pPr>
        <w:ind w:left="0" w:firstLine="0"/>
      </w:pPr>
    </w:p>
    <w:sectPr w:rsidR="0012166F" w:rsidSect="00A33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87BF" w14:textId="77777777" w:rsidR="00365C2B" w:rsidRDefault="00365C2B" w:rsidP="00244D53">
      <w:pPr>
        <w:spacing w:before="0" w:after="0"/>
      </w:pPr>
      <w:r>
        <w:separator/>
      </w:r>
    </w:p>
  </w:endnote>
  <w:endnote w:type="continuationSeparator" w:id="0">
    <w:p w14:paraId="639B7CE4" w14:textId="77777777" w:rsidR="00365C2B" w:rsidRDefault="00365C2B" w:rsidP="00244D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1414" w14:textId="77777777" w:rsidR="00244D53" w:rsidRDefault="0024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E1B6" w14:textId="77777777" w:rsidR="00244D53" w:rsidRDefault="00244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799" w14:textId="77777777" w:rsidR="00244D53" w:rsidRDefault="0024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DFF8" w14:textId="77777777" w:rsidR="00365C2B" w:rsidRDefault="00365C2B" w:rsidP="00244D53">
      <w:pPr>
        <w:spacing w:before="0" w:after="0"/>
      </w:pPr>
      <w:r>
        <w:separator/>
      </w:r>
    </w:p>
  </w:footnote>
  <w:footnote w:type="continuationSeparator" w:id="0">
    <w:p w14:paraId="79B3D9CE" w14:textId="77777777" w:rsidR="00365C2B" w:rsidRDefault="00365C2B" w:rsidP="00244D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33C6" w14:textId="77777777" w:rsidR="00244D53" w:rsidRDefault="0024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68A3" w14:textId="77777777" w:rsidR="00244D53" w:rsidRDefault="00244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6844" w14:textId="77777777" w:rsidR="00244D53" w:rsidRDefault="0024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6324"/>
    <w:multiLevelType w:val="hybridMultilevel"/>
    <w:tmpl w:val="353C9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8E"/>
    <w:rsid w:val="00004816"/>
    <w:rsid w:val="000212E3"/>
    <w:rsid w:val="00024CD8"/>
    <w:rsid w:val="00025B4F"/>
    <w:rsid w:val="00031822"/>
    <w:rsid w:val="0003402B"/>
    <w:rsid w:val="000551A7"/>
    <w:rsid w:val="000E20D8"/>
    <w:rsid w:val="000E58C7"/>
    <w:rsid w:val="000F3B6A"/>
    <w:rsid w:val="000F5F1E"/>
    <w:rsid w:val="000F6BB9"/>
    <w:rsid w:val="0012166F"/>
    <w:rsid w:val="001240DB"/>
    <w:rsid w:val="00126C2B"/>
    <w:rsid w:val="00153CC7"/>
    <w:rsid w:val="00156E23"/>
    <w:rsid w:val="00163CAA"/>
    <w:rsid w:val="00177FF6"/>
    <w:rsid w:val="00191878"/>
    <w:rsid w:val="00195AAD"/>
    <w:rsid w:val="001D7E98"/>
    <w:rsid w:val="001E1CC6"/>
    <w:rsid w:val="001E3A1B"/>
    <w:rsid w:val="00210B46"/>
    <w:rsid w:val="00244D53"/>
    <w:rsid w:val="00247A74"/>
    <w:rsid w:val="00255AF2"/>
    <w:rsid w:val="00276161"/>
    <w:rsid w:val="002B383D"/>
    <w:rsid w:val="002D208E"/>
    <w:rsid w:val="00301A42"/>
    <w:rsid w:val="0030596D"/>
    <w:rsid w:val="00344907"/>
    <w:rsid w:val="00345E3C"/>
    <w:rsid w:val="00347990"/>
    <w:rsid w:val="00364F77"/>
    <w:rsid w:val="00365C2B"/>
    <w:rsid w:val="003A6A89"/>
    <w:rsid w:val="003B5B0D"/>
    <w:rsid w:val="003D12D0"/>
    <w:rsid w:val="003E211A"/>
    <w:rsid w:val="003E44A8"/>
    <w:rsid w:val="003F1E6A"/>
    <w:rsid w:val="00423D0D"/>
    <w:rsid w:val="00440C63"/>
    <w:rsid w:val="00475F47"/>
    <w:rsid w:val="004868BC"/>
    <w:rsid w:val="004B7BAF"/>
    <w:rsid w:val="004C7A57"/>
    <w:rsid w:val="004D2C16"/>
    <w:rsid w:val="004D5A5E"/>
    <w:rsid w:val="004F00AA"/>
    <w:rsid w:val="004F6C9F"/>
    <w:rsid w:val="005417AC"/>
    <w:rsid w:val="0054645E"/>
    <w:rsid w:val="00582652"/>
    <w:rsid w:val="005929ED"/>
    <w:rsid w:val="005A0682"/>
    <w:rsid w:val="005B3004"/>
    <w:rsid w:val="005B5522"/>
    <w:rsid w:val="005F6C43"/>
    <w:rsid w:val="00624457"/>
    <w:rsid w:val="00660EBA"/>
    <w:rsid w:val="006A0EBE"/>
    <w:rsid w:val="006A23D2"/>
    <w:rsid w:val="006B7B01"/>
    <w:rsid w:val="006C21F2"/>
    <w:rsid w:val="00714034"/>
    <w:rsid w:val="007144CB"/>
    <w:rsid w:val="00717AA4"/>
    <w:rsid w:val="00751CDD"/>
    <w:rsid w:val="0077244E"/>
    <w:rsid w:val="00773228"/>
    <w:rsid w:val="007C40B4"/>
    <w:rsid w:val="007C65C7"/>
    <w:rsid w:val="007C7EB2"/>
    <w:rsid w:val="007F13DF"/>
    <w:rsid w:val="007F5A23"/>
    <w:rsid w:val="00801767"/>
    <w:rsid w:val="00835F84"/>
    <w:rsid w:val="0088255D"/>
    <w:rsid w:val="00882B12"/>
    <w:rsid w:val="0089343A"/>
    <w:rsid w:val="008A1359"/>
    <w:rsid w:val="008A2903"/>
    <w:rsid w:val="008C1040"/>
    <w:rsid w:val="008C69A7"/>
    <w:rsid w:val="0094053A"/>
    <w:rsid w:val="0095232A"/>
    <w:rsid w:val="00962604"/>
    <w:rsid w:val="009842AE"/>
    <w:rsid w:val="009B20E7"/>
    <w:rsid w:val="009B6CE3"/>
    <w:rsid w:val="009D1F5C"/>
    <w:rsid w:val="00A0263B"/>
    <w:rsid w:val="00A07D30"/>
    <w:rsid w:val="00A17F05"/>
    <w:rsid w:val="00A26C41"/>
    <w:rsid w:val="00A335B3"/>
    <w:rsid w:val="00A35574"/>
    <w:rsid w:val="00A36AFE"/>
    <w:rsid w:val="00A419C0"/>
    <w:rsid w:val="00A41F63"/>
    <w:rsid w:val="00A47398"/>
    <w:rsid w:val="00A969B5"/>
    <w:rsid w:val="00AA5B3B"/>
    <w:rsid w:val="00AC5F92"/>
    <w:rsid w:val="00AD5381"/>
    <w:rsid w:val="00AE2121"/>
    <w:rsid w:val="00B14456"/>
    <w:rsid w:val="00B34204"/>
    <w:rsid w:val="00B472DD"/>
    <w:rsid w:val="00B56E6F"/>
    <w:rsid w:val="00B81734"/>
    <w:rsid w:val="00B91B59"/>
    <w:rsid w:val="00BB7350"/>
    <w:rsid w:val="00BD62FA"/>
    <w:rsid w:val="00C007AC"/>
    <w:rsid w:val="00C301F5"/>
    <w:rsid w:val="00C36628"/>
    <w:rsid w:val="00C511B9"/>
    <w:rsid w:val="00CA6D92"/>
    <w:rsid w:val="00CB7F27"/>
    <w:rsid w:val="00CC7C09"/>
    <w:rsid w:val="00CD42A5"/>
    <w:rsid w:val="00D325BD"/>
    <w:rsid w:val="00D47082"/>
    <w:rsid w:val="00D86874"/>
    <w:rsid w:val="00D929A9"/>
    <w:rsid w:val="00DA58C8"/>
    <w:rsid w:val="00DB56CA"/>
    <w:rsid w:val="00DC1320"/>
    <w:rsid w:val="00DD45B8"/>
    <w:rsid w:val="00E127E5"/>
    <w:rsid w:val="00E4681B"/>
    <w:rsid w:val="00E903E8"/>
    <w:rsid w:val="00EA5E96"/>
    <w:rsid w:val="00EA7ABF"/>
    <w:rsid w:val="00EB37F1"/>
    <w:rsid w:val="00EC0F6B"/>
    <w:rsid w:val="00F07862"/>
    <w:rsid w:val="00F23C0F"/>
    <w:rsid w:val="00F5475B"/>
    <w:rsid w:val="00F548EB"/>
    <w:rsid w:val="00F559F9"/>
    <w:rsid w:val="00FA68D5"/>
    <w:rsid w:val="00FA786E"/>
    <w:rsid w:val="00FB1ED6"/>
    <w:rsid w:val="00FB79BA"/>
    <w:rsid w:val="00FC6C9A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B46EF"/>
  <w15:chartTrackingRefBased/>
  <w15:docId w15:val="{DA489F07-793F-4A3A-A4E2-2F5DE808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  <w14:ligatures w14:val="standard"/>
        <w14:stylisticSets>
          <w14:styleSet w14:id="5"/>
        </w14:stylisticSets>
        <w14:cntxtAlts/>
      </w:rPr>
    </w:rPrDefault>
    <w:pPrDefault>
      <w:pPr>
        <w:spacing w:before="240" w:after="240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08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D208E"/>
    <w:pPr>
      <w:spacing w:before="0" w:after="0"/>
      <w:ind w:left="0" w:firstLine="0"/>
    </w:pPr>
    <w:rPr>
      <w:rFonts w:ascii="Arial Narrow" w:eastAsia="Times New Roman" w:hAnsi="Arial Narrow" w:cs="Times New Roman"/>
      <w:b/>
      <w:sz w:val="18"/>
      <w:szCs w:val="20"/>
      <w:lang w:val="fr-CA"/>
      <w14:ligatures w14:val="none"/>
      <w14:stylisticSets/>
      <w14:cntxtAlts w14:val="0"/>
    </w:rPr>
  </w:style>
  <w:style w:type="character" w:customStyle="1" w:styleId="BodyText3Char">
    <w:name w:val="Body Text 3 Char"/>
    <w:basedOn w:val="DefaultParagraphFont"/>
    <w:link w:val="BodyText3"/>
    <w:rsid w:val="002D208E"/>
    <w:rPr>
      <w:rFonts w:ascii="Arial Narrow" w:eastAsia="Times New Roman" w:hAnsi="Arial Narrow" w:cs="Times New Roman"/>
      <w:b/>
      <w:sz w:val="18"/>
      <w:szCs w:val="20"/>
      <w:lang w:val="fr-CA"/>
      <w14:ligatures w14:val="none"/>
      <w14:stylisticSets/>
      <w14:cntxtAlts w14:val="0"/>
    </w:rPr>
  </w:style>
  <w:style w:type="character" w:styleId="Hyperlink">
    <w:name w:val="Hyperlink"/>
    <w:rsid w:val="002D208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6C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C41"/>
  </w:style>
  <w:style w:type="paragraph" w:styleId="BalloonText">
    <w:name w:val="Balloon Text"/>
    <w:basedOn w:val="Normal"/>
    <w:link w:val="BalloonTextChar"/>
    <w:uiPriority w:val="99"/>
    <w:semiHidden/>
    <w:unhideWhenUsed/>
    <w:rsid w:val="00FB1E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4907"/>
    <w:rPr>
      <w:color w:val="808080"/>
    </w:rPr>
  </w:style>
  <w:style w:type="paragraph" w:customStyle="1" w:styleId="NormalVerdana">
    <w:name w:val="Normal + Verdana"/>
    <w:aliases w:val="10 pt"/>
    <w:basedOn w:val="Normal"/>
    <w:rsid w:val="00247A74"/>
    <w:pPr>
      <w:spacing w:before="0" w:after="0"/>
      <w:ind w:left="0" w:firstLine="0"/>
      <w:jc w:val="left"/>
    </w:pPr>
    <w:rPr>
      <w:rFonts w:ascii="Verdana" w:eastAsia="Times New Roman" w:hAnsi="Verdana" w:cs="Times New Roman"/>
      <w:sz w:val="20"/>
      <w:szCs w:val="20"/>
      <w14:ligatures w14:val="none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44D5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D53"/>
  </w:style>
  <w:style w:type="paragraph" w:styleId="Footer">
    <w:name w:val="footer"/>
    <w:basedOn w:val="Normal"/>
    <w:link w:val="FooterChar"/>
    <w:uiPriority w:val="99"/>
    <w:unhideWhenUsed/>
    <w:rsid w:val="00244D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iracVStr\share\TSD\UTILTIES\MONTAGUE\UW%2022%20310%20-%20Rate%20Filing%202020\Notice\www.irac.pe.ca\utilit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\\iracVStr\share\TSD\UTILTIES\MONTAGUE\UW%2022%20310%20-%20Rate%20Filing%202020\Notice\www.irac.pe.ca\utilit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Vessey</dc:creator>
  <cp:keywords/>
  <dc:description/>
  <cp:lastModifiedBy>CAO Victoria</cp:lastModifiedBy>
  <cp:revision>3</cp:revision>
  <cp:lastPrinted>2022-02-22T13:40:00Z</cp:lastPrinted>
  <dcterms:created xsi:type="dcterms:W3CDTF">2023-01-11T16:17:00Z</dcterms:created>
  <dcterms:modified xsi:type="dcterms:W3CDTF">2023-01-12T14:38:00Z</dcterms:modified>
</cp:coreProperties>
</file>